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职业病危害评价项目信息公开表</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1005"/>
        <w:gridCol w:w="1406"/>
        <w:gridCol w:w="1430"/>
        <w:gridCol w:w="1364"/>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建设单位名称</w:t>
            </w:r>
          </w:p>
        </w:tc>
        <w:tc>
          <w:tcPr>
            <w:tcW w:w="6931" w:type="dxa"/>
            <w:gridSpan w:val="5"/>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济南东方雨虹建筑材料有限公司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建设项目名称</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东方雨虹绿色建材生产基地改性沥青防水卷材生产线项目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地理位置</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山东省济南市天桥区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联系人</w:t>
            </w:r>
          </w:p>
        </w:tc>
        <w:tc>
          <w:tcPr>
            <w:tcW w:w="100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韩志远</w:t>
            </w:r>
          </w:p>
        </w:tc>
        <w:tc>
          <w:tcPr>
            <w:tcW w:w="140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办公电话</w:t>
            </w:r>
          </w:p>
        </w:tc>
        <w:tc>
          <w:tcPr>
            <w:tcW w:w="143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18533033363</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陪同人员</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韩志远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现场调查人员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路齐英、范培华</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调查时间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lang w:val="en-US" w:eastAsia="zh-CN"/>
              </w:rPr>
            </w:pPr>
            <w:r>
              <w:rPr>
                <w:rFonts w:hint="eastAsia" w:ascii="Times New Roman" w:hAnsi="Times New Roman" w:cs="Times New Roman"/>
                <w:szCs w:val="32"/>
                <w:lang w:val="en-US" w:eastAsia="zh-CN"/>
              </w:rPr>
              <w:t>2022.3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采样人员</w:t>
            </w:r>
          </w:p>
        </w:tc>
        <w:tc>
          <w:tcPr>
            <w:tcW w:w="3841"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eastAsia" w:ascii="Times New Roman" w:hAnsi="Times New Roman" w:cs="Times New Roman"/>
                <w:szCs w:val="32"/>
                <w:lang w:val="en-US" w:eastAsia="zh-CN"/>
              </w:rPr>
              <w:t>//</w:t>
            </w:r>
          </w:p>
        </w:tc>
        <w:tc>
          <w:tcPr>
            <w:tcW w:w="136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采样时间</w:t>
            </w:r>
          </w:p>
        </w:tc>
        <w:tc>
          <w:tcPr>
            <w:tcW w:w="1726" w:type="dxa"/>
            <w:tcBorders>
              <w:top w:val="single" w:color="000000" w:sz="4" w:space="0"/>
              <w:left w:val="single" w:color="auto"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检测人员</w:t>
            </w:r>
          </w:p>
        </w:tc>
        <w:tc>
          <w:tcPr>
            <w:tcW w:w="38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检测时间</w:t>
            </w:r>
          </w:p>
        </w:tc>
        <w:tc>
          <w:tcPr>
            <w:tcW w:w="1726"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imes New Roman" w:hAnsi="Times New Roman" w:eastAsia="宋体" w:cs="Times New Roman"/>
                <w:szCs w:val="32"/>
                <w:lang w:val="en-US" w:eastAsia="zh-CN"/>
              </w:rPr>
            </w:pPr>
            <w:r>
              <w:rPr>
                <w:rFonts w:hint="eastAsia" w:ascii="Times New Roman" w:hAnsi="Times New Roman" w:cs="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存在的职业病危害因素</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Times New Roman" w:hAnsi="Times New Roman" w:eastAsia="宋体" w:cs="Times New Roman"/>
                <w:szCs w:val="32"/>
                <w:lang w:eastAsia="zh-CN"/>
              </w:rPr>
            </w:pPr>
            <w:r>
              <w:rPr>
                <w:rFonts w:hint="eastAsia" w:ascii="Times New Roman" w:hAnsi="Times New Roman" w:cs="Times New Roman"/>
                <w:szCs w:val="32"/>
                <w:lang w:eastAsia="zh-CN"/>
              </w:rPr>
              <w:t>主要职业病危害因素包括：滑石粉尘、石油沥青烟、甲烷、高温、噪声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检测结果</w:t>
            </w:r>
          </w:p>
          <w:p>
            <w:pPr>
              <w:keepNext w:val="0"/>
              <w:keepLines w:val="0"/>
              <w:suppressLineNumbers w:val="0"/>
              <w:spacing w:before="0" w:beforeAutospacing="0" w:after="0" w:afterAutospacing="0"/>
              <w:ind w:left="0" w:right="0"/>
              <w:jc w:val="center"/>
              <w:rPr>
                <w:rFonts w:hint="eastAsia" w:ascii="仿宋_GB2312" w:eastAsia="宋体"/>
                <w:szCs w:val="32"/>
                <w:lang w:eastAsia="zh-CN"/>
              </w:rPr>
            </w:pPr>
            <w:r>
              <w:rPr>
                <w:rFonts w:hint="eastAsia" w:ascii="仿宋_GB2312"/>
                <w:szCs w:val="32"/>
                <w:lang w:eastAsia="zh-CN"/>
              </w:rPr>
              <w:t>（类比检测）</w:t>
            </w:r>
          </w:p>
        </w:tc>
        <w:tc>
          <w:tcPr>
            <w:tcW w:w="6931" w:type="dxa"/>
            <w:gridSpan w:val="5"/>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outlineLvl w:val="9"/>
              <w:rPr>
                <w:rFonts w:hint="default" w:ascii="Times New Roman" w:hAnsi="Times New Roman"/>
                <w:szCs w:val="32"/>
              </w:rPr>
            </w:pPr>
            <w:r>
              <w:rPr>
                <w:rFonts w:hint="eastAsia" w:ascii="Times New Roman" w:hAnsi="Times New Roman"/>
                <w:szCs w:val="32"/>
              </w:rPr>
              <w:t>类比项目检测因素包</w:t>
            </w:r>
            <w:r>
              <w:rPr>
                <w:rFonts w:hint="eastAsia" w:ascii="Times New Roman" w:hAnsi="Times New Roman" w:cs="Times New Roman"/>
                <w:szCs w:val="32"/>
                <w:lang w:eastAsia="zh-CN"/>
              </w:rPr>
              <w:t>括：沥青烟、其他粉尘、高温、</w:t>
            </w:r>
            <w:r>
              <w:rPr>
                <w:rFonts w:hint="default" w:ascii="Times New Roman" w:hAnsi="Times New Roman"/>
                <w:szCs w:val="32"/>
              </w:rPr>
              <w:t>噪声等</w:t>
            </w:r>
            <w:r>
              <w:rPr>
                <w:rFonts w:hint="eastAsia" w:ascii="Times New Roman" w:hAnsi="Times New Roman"/>
                <w:szCs w:val="32"/>
              </w:rPr>
              <w:t>，由检测结果可知，</w:t>
            </w:r>
            <w:r>
              <w:rPr>
                <w:rFonts w:hint="eastAsia" w:ascii="Times New Roman" w:hAnsi="Times New Roman"/>
                <w:szCs w:val="32"/>
                <w:lang w:eastAsia="zh-CN"/>
              </w:rPr>
              <w:t>除一</w:t>
            </w:r>
            <w:r>
              <w:rPr>
                <w:rFonts w:hint="eastAsia" w:ascii="Times New Roman" w:hAnsi="Times New Roman"/>
                <w:szCs w:val="32"/>
              </w:rPr>
              <w:t>岗位未进行密闭作业，沥青</w:t>
            </w:r>
            <w:bookmarkStart w:id="6" w:name="_GoBack"/>
            <w:bookmarkEnd w:id="6"/>
            <w:r>
              <w:rPr>
                <w:rFonts w:hint="eastAsia" w:ascii="Times New Roman" w:hAnsi="Times New Roman"/>
                <w:szCs w:val="32"/>
              </w:rPr>
              <w:t>加热熔炼后产生的沥青烟不能完全通过抽风系统排出，进而在局部区域弥散所致</w:t>
            </w:r>
            <w:r>
              <w:rPr>
                <w:rFonts w:hint="eastAsia" w:ascii="Times New Roman" w:hAnsi="Times New Roman"/>
                <w:szCs w:val="32"/>
                <w:lang w:eastAsia="zh-CN"/>
              </w:rPr>
              <w:t>，导致沥青烟浓度超标，其余</w:t>
            </w:r>
            <w:r>
              <w:rPr>
                <w:rFonts w:hint="eastAsia" w:ascii="Times New Roman" w:hAnsi="Times New Roman"/>
                <w:szCs w:val="32"/>
              </w:rPr>
              <w:t>各检测结果均符合职业接触限值要求</w:t>
            </w:r>
            <w:r>
              <w:rPr>
                <w:rFonts w:hint="eastAsia" w:ascii="Times New Roman" w:hAnsi="Times New Roman"/>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1591" w:type="dxa"/>
            <w:tcBorders>
              <w:top w:val="single" w:color="000000" w:sz="4" w:space="0"/>
              <w:left w:val="single" w:color="000000" w:sz="12"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评价结论</w:t>
            </w:r>
          </w:p>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与建议</w:t>
            </w: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center"/>
              <w:rPr>
                <w:rFonts w:hint="eastAsia" w:ascii="仿宋_GB2312"/>
                <w:szCs w:val="32"/>
              </w:rPr>
            </w:pPr>
          </w:p>
          <w:p>
            <w:pPr>
              <w:keepNext w:val="0"/>
              <w:keepLines w:val="0"/>
              <w:suppressLineNumbers w:val="0"/>
              <w:spacing w:before="0" w:beforeAutospacing="0" w:after="0" w:afterAutospacing="0"/>
              <w:ind w:left="0" w:right="0"/>
              <w:jc w:val="both"/>
              <w:rPr>
                <w:rFonts w:hint="eastAsia" w:ascii="仿宋_GB2312"/>
                <w:szCs w:val="32"/>
              </w:rPr>
            </w:pPr>
          </w:p>
        </w:tc>
        <w:tc>
          <w:tcPr>
            <w:tcW w:w="6931" w:type="dxa"/>
            <w:gridSpan w:val="5"/>
            <w:tcBorders>
              <w:top w:val="single" w:color="000000" w:sz="4" w:space="0"/>
              <w:left w:val="single" w:color="000000" w:sz="4" w:space="0"/>
              <w:bottom w:val="single" w:color="000000" w:sz="4"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szCs w:val="32"/>
                <w:lang w:val="en-US" w:eastAsia="zh-CN"/>
              </w:rPr>
            </w:pPr>
            <w:r>
              <w:rPr>
                <w:rFonts w:hint="eastAsia" w:ascii="Times New Roman" w:hAnsi="Times New Roman"/>
                <w:szCs w:val="32"/>
                <w:lang w:val="en-US" w:eastAsia="zh-CN"/>
              </w:rPr>
              <w:t>根据可研报告等资料，本项目基本执行了我国职业病危害预防控制的有关规定。本项目在采取了可研报告和本评价报告所提防护措施的前提下，能满足国家和地方对职业病防治方面法律、法规、标准的要求。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szCs w:val="32"/>
                <w:lang w:val="en-US" w:eastAsia="zh-CN"/>
              </w:rPr>
            </w:pPr>
            <w:r>
              <w:rPr>
                <w:rFonts w:hint="eastAsia" w:ascii="Times New Roman" w:hAnsi="Times New Roman"/>
                <w:szCs w:val="32"/>
                <w:lang w:val="en-US" w:eastAsia="zh-CN"/>
              </w:rPr>
              <w:t>1 职业病防护设施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szCs w:val="32"/>
                <w:lang w:val="en-US" w:eastAsia="zh-CN"/>
              </w:rPr>
            </w:pPr>
            <w:r>
              <w:rPr>
                <w:rFonts w:hint="default" w:ascii="Times New Roman" w:hAnsi="Times New Roman"/>
                <w:szCs w:val="32"/>
                <w:lang w:val="en-US" w:eastAsia="zh-CN"/>
              </w:rPr>
              <w:t>在8#厂房、9#厂房、10#厂房及仓库等设置必要的</w:t>
            </w:r>
            <w:r>
              <w:rPr>
                <w:rFonts w:hint="eastAsia" w:ascii="Times New Roman" w:hAnsi="Times New Roman"/>
                <w:szCs w:val="32"/>
                <w:lang w:val="en-US" w:eastAsia="zh-CN"/>
              </w:rPr>
              <w:t>防爆通风系统或事故排风系统</w:t>
            </w:r>
            <w:r>
              <w:rPr>
                <w:rFonts w:hint="eastAsia" w:ascii="Times New Roman" w:hAnsi="Times New Roman"/>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szCs w:val="32"/>
                <w:lang w:val="en-US" w:eastAsia="zh-CN"/>
              </w:rPr>
            </w:pPr>
            <w:r>
              <w:rPr>
                <w:rFonts w:hint="eastAsia" w:ascii="Times New Roman" w:hAnsi="Times New Roman"/>
                <w:szCs w:val="32"/>
                <w:lang w:val="en-US" w:eastAsia="zh-CN"/>
              </w:rPr>
              <w:t>2个人防护用品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szCs w:val="32"/>
                <w:lang w:val="en-US" w:eastAsia="zh-CN"/>
              </w:rPr>
            </w:pPr>
            <w:r>
              <w:rPr>
                <w:rFonts w:hint="eastAsia" w:ascii="Times New Roman" w:hAnsi="Times New Roman"/>
                <w:szCs w:val="32"/>
                <w:lang w:val="en-US" w:eastAsia="zh-CN"/>
              </w:rPr>
              <w:t>（1）企业应制定完善《劳动防护用品发放和使用制度》，建立劳动防护用品配备标准。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b w:val="0"/>
                <w:bCs w:val="0"/>
                <w:szCs w:val="32"/>
                <w:lang w:val="en-US" w:eastAsia="zh-CN"/>
              </w:rPr>
            </w:pPr>
            <w:r>
              <w:rPr>
                <w:rFonts w:hint="eastAsia" w:ascii="Times New Roman" w:hAnsi="Times New Roman"/>
                <w:szCs w:val="32"/>
                <w:lang w:val="en-US" w:eastAsia="zh-CN"/>
              </w:rPr>
              <w:t>（2）根据《个体防护装备配备规范 第1部分：总则》（GB39800.1-2020）和《呼吸防护用品的选择、使用与维护》（GB/T18664-2002）及《山东省劳动防护用</w:t>
            </w:r>
            <w:r>
              <w:rPr>
                <w:rFonts w:hint="eastAsia" w:ascii="Times New Roman" w:hAnsi="Times New Roman"/>
                <w:b w:val="0"/>
                <w:bCs w:val="0"/>
                <w:szCs w:val="32"/>
                <w:lang w:val="en-US" w:eastAsia="zh-CN"/>
              </w:rPr>
              <w:t>品配备标准》（DB37/1922-2011）为作业人员配备个人防护用品。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b w:val="0"/>
                <w:bCs w:val="0"/>
                <w:szCs w:val="32"/>
                <w:lang w:val="en-US" w:eastAsia="zh-CN"/>
              </w:rPr>
            </w:pPr>
            <w:r>
              <w:rPr>
                <w:rFonts w:hint="eastAsia" w:ascii="Times New Roman" w:hAnsi="Times New Roman"/>
                <w:b w:val="0"/>
                <w:bCs w:val="0"/>
                <w:szCs w:val="32"/>
                <w:lang w:val="en-US" w:eastAsia="zh-CN"/>
              </w:rPr>
              <w:t>3应急救援设施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default" w:ascii="Times New Roman" w:hAnsi="Times New Roman"/>
                <w:b w:val="0"/>
                <w:bCs w:val="0"/>
                <w:szCs w:val="32"/>
                <w:lang w:val="en-US" w:eastAsia="zh-CN"/>
              </w:rPr>
            </w:pPr>
            <w:r>
              <w:rPr>
                <w:rFonts w:hint="eastAsia" w:ascii="Times New Roman" w:hAnsi="Times New Roman"/>
                <w:b w:val="0"/>
                <w:bCs w:val="0"/>
                <w:szCs w:val="32"/>
                <w:lang w:val="en-US" w:eastAsia="zh-CN"/>
              </w:rPr>
              <w:t xml:space="preserve">   在生产车间现场或附近的地方设置应急救援器材存放柜，存放地应有醒目标识，便于事故发生时能在10秒取走使用；建立相应的管理制度，责任到位，有人负责，每日巡检，及时维修或更新。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outlineLvl w:val="9"/>
              <w:rPr>
                <w:rFonts w:hint="eastAsia" w:ascii="Times New Roman" w:hAnsi="Times New Roman"/>
                <w:b w:val="0"/>
                <w:bCs w:val="0"/>
                <w:szCs w:val="32"/>
                <w:lang w:val="en-US" w:eastAsia="zh-CN"/>
              </w:rPr>
            </w:pPr>
            <w:r>
              <w:rPr>
                <w:rFonts w:hint="eastAsia" w:ascii="Times New Roman" w:hAnsi="Times New Roman"/>
                <w:b w:val="0"/>
                <w:bCs w:val="0"/>
                <w:szCs w:val="32"/>
                <w:lang w:val="en-US" w:eastAsia="zh-CN"/>
              </w:rPr>
              <w:t>4辅助用室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eastAsia" w:ascii="Times New Roman" w:hAnsi="Times New Roman"/>
                <w:b w:val="0"/>
                <w:bCs w:val="0"/>
                <w:szCs w:val="32"/>
                <w:lang w:val="en-US" w:eastAsia="zh-CN"/>
              </w:rPr>
            </w:pPr>
            <w:r>
              <w:rPr>
                <w:rFonts w:hint="eastAsia" w:ascii="Times New Roman" w:hAnsi="Times New Roman"/>
                <w:b w:val="0"/>
                <w:bCs w:val="0"/>
                <w:szCs w:val="32"/>
                <w:lang w:val="en-US" w:eastAsia="zh-CN"/>
              </w:rPr>
              <w:t>本项目车间卫生等级为2级，便服与工作服可按照同室分柜存放的原则，以避免工作服污染便服。</w:t>
            </w:r>
          </w:p>
          <w:p>
            <w:pPr>
              <w:pStyle w:val="4"/>
              <w:spacing w:before="0" w:line="240" w:lineRule="auto"/>
              <w:outlineLvl w:val="1"/>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val="en-US" w:eastAsia="zh-CN"/>
              </w:rPr>
              <w:t>5</w:t>
            </w:r>
            <w:r>
              <w:rPr>
                <w:rFonts w:hint="default" w:ascii="Times New Roman" w:hAnsi="Times New Roman" w:eastAsia="宋体" w:cs="Times New Roman"/>
                <w:b w:val="0"/>
                <w:bCs w:val="0"/>
                <w:sz w:val="21"/>
                <w:szCs w:val="21"/>
              </w:rPr>
              <w:t>职业卫生管理</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rPr>
              <w:t xml:space="preserve">.1 </w:t>
            </w:r>
            <w:r>
              <w:rPr>
                <w:rFonts w:hint="default" w:ascii="Times New Roman" w:hAnsi="Times New Roman" w:eastAsia="宋体" w:cs="Times New Roman"/>
                <w:b w:val="0"/>
                <w:bCs w:val="0"/>
                <w:sz w:val="21"/>
                <w:szCs w:val="21"/>
              </w:rPr>
              <w:t>职业卫生管理机构与人员的配置</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本项目为职业病危害严重的项目，结合一期项目，企业应完善设置或指定职业卫生管理机构或者组织，配备专职职业卫生管理人员，负责职业病防治工作。</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.2 职业病防治计划、实施方案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企业应将本项目与一期项目结合，每年年度末制定下一年的职业病防治工作计划及实施方案时，</w:t>
            </w:r>
            <w:r>
              <w:rPr>
                <w:rFonts w:hint="default" w:ascii="Times New Roman" w:hAnsi="Times New Roman" w:eastAsia="宋体" w:cs="Times New Roman"/>
                <w:b w:val="0"/>
                <w:bCs w:val="0"/>
                <w:snapToGrid w:val="0"/>
                <w:sz w:val="21"/>
                <w:szCs w:val="21"/>
              </w:rPr>
              <w:t>对职业病防治目标、职业卫生宣传教育培训、个人劳动防护用品佩戴、职业病危害因素检测与告知、职业健康监护等工作进行相关计划规定</w:t>
            </w:r>
            <w:r>
              <w:rPr>
                <w:rFonts w:hint="default" w:ascii="Times New Roman" w:hAnsi="Times New Roman" w:eastAsia="宋体" w:cs="Times New Roman"/>
                <w:b w:val="0"/>
                <w:bCs w:val="0"/>
                <w:sz w:val="21"/>
                <w:szCs w:val="21"/>
              </w:rPr>
              <w:t>。</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.3 职业卫生管理制度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企业的职业卫生管理机构应根据《工作场所职业卫生管理规定》（国家卫生健康委员会令[2021]第5号），并结合企业实际制定职业病危害防治计划和实施方案，建立、健全下列职业卫生管理制度和操作规程： </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a.职业病危害防治责任制度；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b.职业病危害警示与告知制度；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c.职业病危害项目申报制度；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d.职业病防治宣传教育培训制度；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e.职业病防护设施维护检修制度；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f.职业病防护用品管理制度；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g.职业病危害监测及评价管理制度；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h.建设项目职业卫生“三同时”管理制度；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i.劳动者职业健康监护及其档案管理制度；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j.职业病危害事故处置与报告制度；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k.职业病危害应急救援与管理制度；</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l.岗位职业卫生操作规程；</w:t>
            </w:r>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m.法律、法规、规章规定的其他职业病防治制度。</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.4 职业卫生培训</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（1）企业应根据行业和岗位特点，制定培训计划，确定培训内容和培训学时，确保培训取得实效。</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（2）用人单位主要负责人主要培训内容：国家职业病防治法律、行政法规和规章，职业病危害防治基础知识，结合行业特点的职业卫生管理要求和措施等。初次培训不得少于16学时，继续教育不得少于8学时。</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3）职业卫生管理人员主要培训内容：国家职业病防治法律、行政法规、规章以及标准，职业病危害防治知识，主要职业病危害因素及防控措施，职业病防护设施的维护与管理，职业卫生管理要求和措施等。初次培训不得少于16学时，继续教育不得少于8学时。职业病危害监测人员的培训，可以参照职业卫生管理人员的要求执行。</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4）接触职业病危害的劳动者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8学时，继续教育不得少于4课时。</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.5 职业卫生档案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企业应根据《职业卫生档案管理规范》（安监总厅安健[2013]171号）建立健全职业卫生档案，包括以下主要内容：</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a.建设项目职业卫生“三同时”档案；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b.职业卫生管理档案；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c.职业卫生宣传培训档案；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d.职业病危害因素监测与检测评价档案；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e.用人单位职业健康监护管理档案；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f.劳动者个人职业健康监护档案；</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g.法律、行政法规、规章要求的其他资料文件。</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 xml:space="preserve">.6 </w:t>
            </w:r>
            <w:r>
              <w:rPr>
                <w:rFonts w:hint="default" w:ascii="Times New Roman" w:hAnsi="Times New Roman" w:eastAsia="宋体" w:cs="Times New Roman"/>
                <w:b w:val="0"/>
                <w:bCs w:val="0"/>
                <w:kern w:val="0"/>
                <w:sz w:val="21"/>
                <w:szCs w:val="21"/>
              </w:rPr>
              <w:t>职业病危害告知</w:t>
            </w:r>
          </w:p>
          <w:p>
            <w:pPr>
              <w:pStyle w:val="14"/>
              <w:spacing w:line="24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企业应当在办公区域、工作场所入口处等方便劳动者观看的醒目位置设置公告栏，公布有关职业病防治的规章制度、操作规程、职业病危害事故应急救援措施和工作场所职业病危害因素检测结果。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p>
            <w:pPr>
              <w:pStyle w:val="14"/>
              <w:spacing w:line="240" w:lineRule="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与劳动者订立劳动合同（含聘用合同，下同）时，应当将工作过程中可能产生的职业病危害及其后果、职业病防护措施和待遇等如实告知劳动者，并在劳动合同中写明，不得隐瞒或者欺骗，合同可使用《关于印发&lt;职业病危害告知书（范本）&gt;的通知》（鲁安监发2015[37]号）中的职业病危害告知书范本。</w:t>
            </w:r>
          </w:p>
          <w:p>
            <w:pPr>
              <w:pStyle w:val="14"/>
              <w:spacing w:line="240" w:lineRule="auto"/>
              <w:ind w:firstLine="0" w:firstLineChars="0"/>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.7 职业病危害警示标识</w:t>
            </w:r>
          </w:p>
          <w:p>
            <w:pPr>
              <w:keepNext w:val="0"/>
              <w:keepLines w:val="0"/>
              <w:suppressLineNumbers w:val="0"/>
              <w:adjustRightInd w:val="0"/>
              <w:snapToGrid w:val="0"/>
              <w:spacing w:before="0" w:beforeAutospacing="0" w:after="0" w:afterAutospacing="0" w:line="240" w:lineRule="auto"/>
              <w:ind w:left="0" w:right="0"/>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（1）按照《工作场所职业病危害警示标识》（GBZ158-2003）、《用人单位职业病危害告知与警示标识管理规范》（安监总厅安健[2014]111号）的规定，设置警示标识、中文警示说明和职业病危害告知卡。</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（2）在生产车间存在有毒物品的工作场所设置黄色区域警示线。警示标识的规格要求等按照《工作场所职业病危害警示标识》（GBZ 158）执行。</w:t>
            </w:r>
          </w:p>
          <w:p>
            <w:pPr>
              <w:pStyle w:val="14"/>
              <w:spacing w:line="240" w:lineRule="auto"/>
              <w:ind w:firstLine="0" w:firstLineChars="0"/>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.8 职业健康监护</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对从事接触职业病危害因素作业的劳动者，应当按照《用人单位职业健康监护监督管理办法》（安监总局令[2012]第49号）、《职业健康监护技术规范》（GBZ188-2014）等有关规定组织各岗位工人进行上岗前、在岗期间、离岗时的职业健康检查，并将检查结果书面如实告知劳动者。</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（2）不得安排未经上岗前职业健康检查的劳动者从事接触职业病危害的作业，不得安排有职业禁忌的劳动者从事其所禁忌的作业。</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根据劳动者所接触的职业病危害因素，定期安排劳动者进行在岗期间的职业健康检查，检查项目和检查周期应当按照《职业健康监护技术规范》（GBZ188）等国家职业卫生标准的规定和要求确定。需要复查的，应当根据复查要求增加相应的检查项目</w:t>
            </w:r>
            <w:r>
              <w:rPr>
                <w:rFonts w:hint="default" w:ascii="Times New Roman" w:hAnsi="Times New Roman" w:eastAsia="宋体" w:cs="Times New Roman"/>
                <w:b w:val="0"/>
                <w:bCs w:val="0"/>
                <w:kern w:val="0"/>
                <w:sz w:val="21"/>
                <w:szCs w:val="21"/>
              </w:rPr>
              <w:t>。</w:t>
            </w:r>
          </w:p>
          <w:p>
            <w:pPr>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（4）为劳动者建立职业健康监护档案，把每年的职业健康检查情况及时纳入档案管理。</w:t>
            </w:r>
          </w:p>
          <w:p>
            <w:pPr>
              <w:adjustRightInd w:val="0"/>
              <w:snapToGrid w:val="0"/>
              <w:spacing w:line="240" w:lineRule="auto"/>
              <w:outlineLvl w:val="2"/>
              <w:rPr>
                <w:rFonts w:hint="default" w:ascii="Times New Roman" w:hAnsi="Times New Roman" w:eastAsia="宋体" w:cs="Times New Roman"/>
                <w:b w:val="0"/>
                <w:bCs w:val="0"/>
                <w:snapToGrid w:val="0"/>
                <w:kern w:val="0"/>
                <w:sz w:val="21"/>
                <w:szCs w:val="21"/>
              </w:rPr>
            </w:pPr>
            <w:r>
              <w:rPr>
                <w:rFonts w:hint="default" w:ascii="Times New Roman" w:hAnsi="Times New Roman" w:eastAsia="宋体" w:cs="Times New Roman"/>
                <w:b w:val="0"/>
                <w:bCs w:val="0"/>
                <w:snapToGrid w:val="0"/>
                <w:kern w:val="0"/>
                <w:sz w:val="21"/>
                <w:szCs w:val="21"/>
                <w:lang w:val="en-US" w:eastAsia="zh-CN"/>
              </w:rPr>
              <w:t>5</w:t>
            </w:r>
            <w:r>
              <w:rPr>
                <w:rFonts w:hint="default" w:ascii="Times New Roman" w:hAnsi="Times New Roman" w:eastAsia="宋体" w:cs="Times New Roman"/>
                <w:b w:val="0"/>
                <w:bCs w:val="0"/>
                <w:snapToGrid w:val="0"/>
                <w:kern w:val="0"/>
                <w:sz w:val="21"/>
                <w:szCs w:val="21"/>
              </w:rPr>
              <w:t>.9 职业卫生“三同时”</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（1）预评价报告评审后，企业应当组织编制职业病防护设施设计专篇。</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（2）在完成职业病防护设施设计专篇评审后，企业按照有关规定组织职业病防护设施的施工，确保各项控制职业病危害措施的落实。</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（3）工程生产工艺进行变更时，应注意调整相应的职业卫生防护设施，使之与其相匹配。</w:t>
            </w:r>
          </w:p>
          <w:p>
            <w:pPr>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napToGrid w:val="0"/>
                <w:sz w:val="21"/>
                <w:szCs w:val="21"/>
              </w:rPr>
              <w:t>（4）项目建成正式运行前，企业应委托有资质的职业卫生技术服务机构做好职业病危害控制效果评价工作，以便进一步做好职业病防治工作。</w:t>
            </w:r>
          </w:p>
          <w:p>
            <w:pPr>
              <w:spacing w:line="240" w:lineRule="auto"/>
              <w:outlineLvl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.10 职业病危害信息公示</w:t>
            </w:r>
          </w:p>
          <w:p>
            <w:pPr>
              <w:keepNext w:val="0"/>
              <w:keepLines w:val="0"/>
              <w:suppressLineNumbers w:val="0"/>
              <w:adjustRightInd w:val="0"/>
              <w:snapToGrid w:val="0"/>
              <w:spacing w:before="0" w:beforeAutospacing="0" w:after="0" w:afterAutospacing="0" w:line="240" w:lineRule="auto"/>
              <w:ind w:left="0" w:right="0" w:firstLine="420" w:firstLineChars="200"/>
              <w:outlineLvl w:val="2"/>
              <w:rPr>
                <w:rFonts w:hint="default" w:ascii="Times New Roman" w:hAnsi="Times New Roman" w:eastAsia="宋体" w:cs="Times New Roman"/>
                <w:b w:val="0"/>
                <w:bCs w:val="0"/>
                <w:snapToGrid w:val="0"/>
                <w:sz w:val="21"/>
                <w:szCs w:val="21"/>
                <w:lang w:eastAsia="zh-CN"/>
              </w:rPr>
            </w:pPr>
            <w:r>
              <w:rPr>
                <w:rFonts w:hint="default" w:ascii="Times New Roman" w:hAnsi="Times New Roman" w:eastAsia="宋体" w:cs="Times New Roman"/>
                <w:b w:val="0"/>
                <w:bCs w:val="0"/>
                <w:snapToGrid w:val="0"/>
                <w:sz w:val="21"/>
                <w:szCs w:val="21"/>
              </w:rPr>
              <w:t>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职业卫生监督管理部门查询</w:t>
            </w:r>
            <w:r>
              <w:rPr>
                <w:rFonts w:hint="default" w:ascii="Times New Roman" w:hAnsi="Times New Roman" w:eastAsia="宋体" w:cs="Times New Roman"/>
                <w:b w:val="0"/>
                <w:bCs w:val="0"/>
                <w:snapToGrid w:val="0"/>
                <w:sz w:val="21"/>
                <w:szCs w:val="21"/>
                <w:lang w:eastAsia="zh-CN"/>
              </w:rPr>
              <w:t>。</w:t>
            </w:r>
          </w:p>
          <w:p>
            <w:pPr>
              <w:keepNext w:val="0"/>
              <w:keepLines w:val="0"/>
              <w:pageBreakBefore w:val="0"/>
              <w:widowControl w:val="0"/>
              <w:tabs>
                <w:tab w:val="left" w:pos="7740"/>
              </w:tabs>
              <w:kinsoku/>
              <w:wordWrap/>
              <w:overflowPunct/>
              <w:topLinePunct w:val="0"/>
              <w:autoSpaceDE/>
              <w:autoSpaceDN/>
              <w:bidi w:val="0"/>
              <w:adjustRightInd/>
              <w:snapToGrid/>
              <w:spacing w:line="240" w:lineRule="auto"/>
              <w:jc w:val="left"/>
              <w:textAlignment w:val="auto"/>
              <w:outlineLvl w:val="1"/>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6</w:t>
            </w:r>
            <w:r>
              <w:rPr>
                <w:rFonts w:hint="default" w:ascii="Times New Roman" w:hAnsi="Times New Roman" w:eastAsia="宋体" w:cs="Times New Roman"/>
                <w:b w:val="0"/>
                <w:bCs w:val="0"/>
                <w:sz w:val="21"/>
                <w:szCs w:val="21"/>
              </w:rPr>
              <w:t>职业卫生专项投资</w:t>
            </w:r>
          </w:p>
          <w:p>
            <w:pPr>
              <w:keepNext w:val="0"/>
              <w:keepLines w:val="0"/>
              <w:suppressLineNumbers w:val="0"/>
              <w:adjustRightInd w:val="0"/>
              <w:snapToGrid w:val="0"/>
              <w:spacing w:before="0" w:beforeAutospacing="0" w:after="0" w:afterAutospacing="0" w:line="240" w:lineRule="auto"/>
              <w:ind w:left="0" w:right="0" w:firstLine="420" w:firstLineChars="200"/>
              <w:outlineLvl w:val="2"/>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rPr>
              <w:t>企业应在下一步设计时明确职业卫生专项投资，专项投资应包括：职业病防护设施配置及维护、个人防护用品配备、职业卫生机构及专兼职职业卫生人员、职业病危害因素检测与评价、职业健康监护、职业病病人诊断与管理、警示标识设置、职业卫生档案管理、职业卫生培训、工伤保险、应急预案及演练等费用。并应确保职业卫生专项投资专款专用</w:t>
            </w:r>
            <w:r>
              <w:rPr>
                <w:rFonts w:hint="default" w:ascii="Times New Roman" w:hAnsi="Times New Roman" w:eastAsia="宋体" w:cs="Times New Roman"/>
                <w:b w:val="0"/>
                <w:bCs w:val="0"/>
                <w:kern w:val="0"/>
                <w:sz w:val="21"/>
                <w:szCs w:val="21"/>
                <w:lang w:eastAsia="zh-CN"/>
              </w:rPr>
              <w:t>。</w:t>
            </w:r>
          </w:p>
          <w:p>
            <w:pPr>
              <w:tabs>
                <w:tab w:val="left" w:pos="7740"/>
              </w:tabs>
              <w:spacing w:line="240" w:lineRule="auto"/>
              <w:jc w:val="left"/>
              <w:outlineLvl w:val="1"/>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eastAsia="zh-CN"/>
              </w:rPr>
              <w:t>工程补充</w:t>
            </w:r>
            <w:r>
              <w:rPr>
                <w:rFonts w:hint="default" w:ascii="Times New Roman" w:hAnsi="Times New Roman" w:eastAsia="宋体" w:cs="Times New Roman"/>
                <w:b w:val="0"/>
                <w:bCs w:val="0"/>
                <w:sz w:val="21"/>
                <w:szCs w:val="21"/>
              </w:rPr>
              <w:t>建议</w:t>
            </w:r>
          </w:p>
          <w:p>
            <w:pPr>
              <w:adjustRightInd w:val="0"/>
              <w:snapToGrid w:val="0"/>
              <w:spacing w:line="240" w:lineRule="auto"/>
              <w:ind w:firstLine="420" w:firstLineChars="200"/>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（1）在保证生产工艺和产品质量前提下，优先采用无毒、低毒原辅材料替代有毒、高毒的原辅材料。</w:t>
            </w:r>
          </w:p>
          <w:p>
            <w:pPr>
              <w:pStyle w:val="5"/>
              <w:spacing w:line="240" w:lineRule="auto"/>
              <w:ind w:firstLine="420" w:firstLineChars="200"/>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（2）所建车间厂房应尽可能宽敞和足够高度，在车间顶部设避风天窗或屋顶通风器，以充分利用自然通风排出各设备逸散的有害气体，改善车间内的空气质量。</w:t>
            </w:r>
          </w:p>
          <w:p>
            <w:pPr>
              <w:pStyle w:val="5"/>
              <w:spacing w:line="240" w:lineRule="auto"/>
              <w:ind w:firstLine="420" w:firstLineChars="200"/>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3</w:t>
            </w:r>
            <w:r>
              <w:rPr>
                <w:rFonts w:hint="default" w:ascii="Times New Roman" w:hAnsi="Times New Roman" w:eastAsia="宋体" w:cs="Times New Roman"/>
                <w:b w:val="0"/>
                <w:bCs w:val="0"/>
                <w:kern w:val="0"/>
                <w:sz w:val="21"/>
                <w:szCs w:val="21"/>
                <w:lang w:eastAsia="zh-CN"/>
              </w:rPr>
              <w:t>）企业在下一步设计时，应完善浸油、涂油、覆膜撒砂等岗位的局部排风设计。</w:t>
            </w:r>
          </w:p>
          <w:p>
            <w:pPr>
              <w:pStyle w:val="5"/>
              <w:spacing w:line="240" w:lineRule="auto"/>
              <w:ind w:firstLine="420" w:firstLineChars="200"/>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4</w:t>
            </w: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8#厂房、9#厂房、10#</w:t>
            </w:r>
            <w:r>
              <w:rPr>
                <w:rFonts w:hint="default" w:ascii="Times New Roman" w:hAnsi="Times New Roman" w:eastAsia="宋体" w:cs="Times New Roman"/>
                <w:b w:val="0"/>
                <w:bCs w:val="0"/>
                <w:kern w:val="0"/>
                <w:sz w:val="21"/>
                <w:szCs w:val="21"/>
                <w:lang w:eastAsia="zh-CN"/>
              </w:rPr>
              <w:t>厂房内</w:t>
            </w:r>
            <w:r>
              <w:rPr>
                <w:rFonts w:hint="default" w:ascii="Times New Roman" w:hAnsi="Times New Roman" w:eastAsia="宋体" w:cs="Times New Roman"/>
                <w:b w:val="0"/>
                <w:bCs w:val="0"/>
                <w:kern w:val="0"/>
                <w:sz w:val="21"/>
                <w:szCs w:val="21"/>
                <w:lang w:val="en-US" w:eastAsia="zh-CN" w:bidi="ar-SA"/>
              </w:rPr>
              <w:t>的高温热源应布置在天窗下方或靠近车间下风侧的外墙侧窗附近。各厂房应设置天窗挡风板，侧窗上方设置遮阳、遮雨的固定板（棚），避免阳光直射，方便雨天通风。</w:t>
            </w:r>
          </w:p>
          <w:p>
            <w:pPr>
              <w:pStyle w:val="16"/>
              <w:spacing w:line="240" w:lineRule="auto"/>
              <w:rPr>
                <w:rFonts w:hint="default" w:ascii="Times New Roman" w:hAnsi="Times New Roman" w:eastAsia="宋体" w:cs="Times New Roman"/>
                <w:b w:val="0"/>
                <w:bCs w:val="0"/>
                <w:sz w:val="21"/>
                <w:szCs w:val="21"/>
              </w:rPr>
            </w:pPr>
            <w:bookmarkStart w:id="0" w:name="_Toc23206"/>
            <w:bookmarkStart w:id="1" w:name="_Toc524524766"/>
            <w:r>
              <w:rPr>
                <w:rFonts w:hint="default" w:ascii="Times New Roman" w:hAnsi="Times New Roman" w:eastAsia="宋体" w:cs="Times New Roman"/>
                <w:b w:val="0"/>
                <w:bCs w:val="0"/>
                <w:sz w:val="21"/>
                <w:szCs w:val="21"/>
                <w:lang w:val="en-US" w:eastAsia="zh-CN"/>
              </w:rPr>
              <w:t>8</w:t>
            </w:r>
            <w:r>
              <w:rPr>
                <w:rFonts w:hint="default" w:ascii="Times New Roman" w:hAnsi="Times New Roman" w:eastAsia="宋体" w:cs="Times New Roman"/>
                <w:b w:val="0"/>
                <w:bCs w:val="0"/>
                <w:sz w:val="21"/>
                <w:szCs w:val="21"/>
              </w:rPr>
              <w:t xml:space="preserve"> 检维修建议</w:t>
            </w:r>
            <w:bookmarkEnd w:id="0"/>
            <w:bookmarkEnd w:id="1"/>
          </w:p>
          <w:p>
            <w:pPr>
              <w:tabs>
                <w:tab w:val="left" w:pos="7740"/>
              </w:tabs>
              <w:spacing w:line="240" w:lineRule="auto"/>
              <w:ind w:firstLine="420" w:firstLineChars="20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本项目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pPr>
              <w:tabs>
                <w:tab w:val="left" w:pos="7740"/>
              </w:tabs>
              <w:spacing w:line="240" w:lineRule="auto"/>
              <w:ind w:firstLine="420" w:firstLineChars="200"/>
              <w:rPr>
                <w:rFonts w:hint="default" w:ascii="Times New Roman" w:hAnsi="Times New Roman" w:eastAsia="宋体" w:cs="Times New Roman"/>
                <w:b w:val="0"/>
                <w:bCs w:val="0"/>
                <w:snapToGrid w:val="0"/>
                <w:sz w:val="21"/>
                <w:szCs w:val="21"/>
              </w:rPr>
            </w:pPr>
            <w:r>
              <w:rPr>
                <w:rFonts w:hint="default" w:ascii="Times New Roman" w:hAnsi="Times New Roman" w:eastAsia="宋体" w:cs="Times New Roman"/>
                <w:b w:val="0"/>
                <w:bCs w:val="0"/>
                <w:sz w:val="21"/>
                <w:szCs w:val="21"/>
              </w:rPr>
              <w:t>（2）</w:t>
            </w:r>
            <w:r>
              <w:rPr>
                <w:rFonts w:hint="default" w:ascii="Times New Roman" w:hAnsi="Times New Roman" w:eastAsia="宋体" w:cs="Times New Roman"/>
                <w:b w:val="0"/>
                <w:bCs w:val="0"/>
                <w:snapToGrid w:val="0"/>
                <w:sz w:val="21"/>
                <w:szCs w:val="21"/>
              </w:rPr>
              <w:t>进入储罐等受限空间作业时，</w:t>
            </w:r>
            <w:r>
              <w:rPr>
                <w:rFonts w:hint="default" w:ascii="Times New Roman" w:hAnsi="Times New Roman" w:eastAsia="宋体" w:cs="Times New Roman"/>
                <w:b w:val="0"/>
                <w:bCs w:val="0"/>
                <w:sz w:val="21"/>
                <w:szCs w:val="21"/>
              </w:rPr>
              <w:t>严格按照《密闭空间作业职业危害防护规范》（GBZ/T 205-2007）的规定执行，</w:t>
            </w:r>
            <w:r>
              <w:rPr>
                <w:rFonts w:hint="default" w:ascii="Times New Roman" w:hAnsi="Times New Roman" w:eastAsia="宋体" w:cs="Times New Roman"/>
                <w:b w:val="0"/>
                <w:bCs w:val="0"/>
                <w:snapToGrid w:val="0"/>
                <w:sz w:val="21"/>
                <w:szCs w:val="21"/>
              </w:rPr>
              <w:t>如对受限空间充分通风稀释化学物质浓度，劳动者佩戴送气式个人防护用品，佩戴便携式可燃/有毒/测氧报警装置等，并实行双人作业，有一人负责监护。</w:t>
            </w:r>
          </w:p>
          <w:p>
            <w:pPr>
              <w:pStyle w:val="16"/>
              <w:spacing w:line="240" w:lineRule="auto"/>
              <w:rPr>
                <w:rFonts w:hint="default" w:ascii="Times New Roman" w:hAnsi="Times New Roman" w:eastAsia="宋体" w:cs="Times New Roman"/>
                <w:b w:val="0"/>
                <w:bCs w:val="0"/>
                <w:sz w:val="21"/>
                <w:szCs w:val="21"/>
              </w:rPr>
            </w:pPr>
            <w:bookmarkStart w:id="2" w:name="_Toc23921"/>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rPr>
              <w:t xml:space="preserve"> 外包工作建议</w:t>
            </w:r>
            <w:bookmarkEnd w:id="2"/>
          </w:p>
          <w:p>
            <w:pPr>
              <w:keepNext w:val="0"/>
              <w:keepLines w:val="0"/>
              <w:suppressLineNumbers w:val="0"/>
              <w:adjustRightInd w:val="0"/>
              <w:snapToGrid w:val="0"/>
              <w:spacing w:before="0" w:beforeAutospacing="0" w:after="0" w:afterAutospacing="0" w:line="240" w:lineRule="auto"/>
              <w:ind w:left="0" w:right="0" w:firstLine="420" w:firstLineChars="200"/>
              <w:outlineLvl w:val="2"/>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应根据《职业病防治法》等法律法规的规定加强对外包作业人员的职业卫生管理，与承包方签订协议，明确职业卫生管理要求和职业危害发生的责任。外包作业人员应享有和建设单位正式职工同等的职业卫生保护权利，包括健康服务权、危害知情权、危害防护权、拒绝危害作业权、危害控告权、女工特殊保护权和接受健康教育权等。</w:t>
            </w:r>
          </w:p>
          <w:p>
            <w:pPr>
              <w:pStyle w:val="16"/>
              <w:suppressLineNumbers w:val="0"/>
              <w:spacing w:beforeAutospacing="0" w:afterAutospacing="0" w:line="240" w:lineRule="auto"/>
              <w:ind w:left="0" w:right="0"/>
              <w:rPr>
                <w:rFonts w:hint="eastAsia" w:eastAsia="宋体" w:cs="Times New Roman"/>
                <w:b w:val="0"/>
                <w:bCs w:val="0"/>
                <w:sz w:val="21"/>
                <w:szCs w:val="21"/>
                <w:lang w:val="en-US" w:eastAsia="zh-CN"/>
              </w:rPr>
            </w:pPr>
            <w:bookmarkStart w:id="3" w:name="_Toc5771"/>
            <w:bookmarkStart w:id="4" w:name="_Toc13746"/>
            <w:bookmarkStart w:id="5" w:name="_Toc15155"/>
            <w:r>
              <w:rPr>
                <w:rFonts w:hint="eastAsia" w:eastAsia="宋体" w:cs="Times New Roman"/>
                <w:b w:val="0"/>
                <w:bCs w:val="0"/>
                <w:sz w:val="21"/>
                <w:szCs w:val="21"/>
                <w:lang w:val="en-US" w:eastAsia="zh-CN"/>
              </w:rPr>
              <w:t>10施工期建议</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b w:val="0"/>
                <w:bCs w:val="0"/>
                <w:sz w:val="21"/>
                <w:szCs w:val="21"/>
                <w:lang w:val="zh-CN"/>
              </w:rPr>
            </w:pPr>
            <w:r>
              <w:rPr>
                <w:rFonts w:hint="eastAsia" w:ascii="Times New Roman" w:hAnsi="Times New Roman" w:eastAsia="宋体" w:cs="Times New Roman"/>
                <w:b w:val="0"/>
                <w:bCs w:val="0"/>
                <w:sz w:val="21"/>
                <w:szCs w:val="21"/>
                <w:lang w:val="zh-CN"/>
              </w:rPr>
              <w:t>（1）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b w:val="0"/>
                <w:bCs w:val="0"/>
                <w:sz w:val="21"/>
                <w:szCs w:val="21"/>
                <w:lang w:val="zh-CN"/>
              </w:rPr>
            </w:pPr>
            <w:r>
              <w:rPr>
                <w:rFonts w:hint="eastAsia" w:ascii="Times New Roman" w:hAnsi="Times New Roman" w:eastAsia="宋体" w:cs="Times New Roman"/>
                <w:b w:val="0"/>
                <w:bCs w:val="0"/>
                <w:sz w:val="21"/>
                <w:szCs w:val="21"/>
                <w:lang w:val="zh-CN"/>
              </w:rPr>
              <w:t>（2）应根据施工规模配备专职职业卫生管理人员，具体人数按照《建筑行业职业病危害预防控制规范》（GBZ/T211-2008）要求配备：建筑面积为1万m2及以下的工程至少配备1人，1万m2~5万m2的工程至少配备2人，5万m2以上的工程至少配备3人。分包单位应根据作业人数配备专职或兼职职业卫生管理人员：50人以下的配备1人，50人~200人的配备2人，200以上的根据所承担工程职业病危害因素的实际情况增配.并不少于施工人数的5‰。</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b w:val="0"/>
                <w:bCs w:val="0"/>
                <w:sz w:val="21"/>
                <w:szCs w:val="21"/>
                <w:lang w:val="zh-CN"/>
              </w:rPr>
              <w:t>（3）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w:t>
            </w:r>
            <w:r>
              <w:rPr>
                <w:rFonts w:hint="eastAsia" w:ascii="Times New Roman" w:hAnsi="Times New Roman" w:eastAsia="宋体" w:cs="Times New Roman"/>
                <w:sz w:val="21"/>
                <w:szCs w:val="21"/>
                <w:lang w:val="zh-CN"/>
              </w:rPr>
              <w:t>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4）项目经理部应建立、健全职业健康监护制度。职业健康监护主要包括职业健康检查和职业健康监护档案管理等内容，职业健康监护工作应符合《职业健康监护技术规范》（GBZ188-2014）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5）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GBZ158-2003）的要求。</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Times New Roman" w:hAnsi="Times New Roman" w:eastAsia="宋体" w:cs="Times New Roman"/>
                <w:sz w:val="21"/>
                <w:szCs w:val="21"/>
                <w:lang w:val="zh-CN"/>
              </w:rPr>
            </w:pPr>
            <w:r>
              <w:rPr>
                <w:rFonts w:hint="eastAsia" w:ascii="Times New Roman" w:hAnsi="Times New Roman" w:eastAsia="宋体" w:cs="Times New Roman"/>
                <w:sz w:val="21"/>
                <w:szCs w:val="21"/>
                <w:lang w:val="zh-CN"/>
              </w:rPr>
              <w:t>（6）项目监理应对施工企业的职业卫生管理机构、职业卫生管理制度及其落实情况、职业病危害防护设施、个人防护用品的使用情况进行监管，做好记录并存档。</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w:hAnsi="Times New Roman"/>
                <w:szCs w:val="32"/>
              </w:rPr>
            </w:pPr>
            <w:r>
              <w:rPr>
                <w:rFonts w:hint="eastAsia" w:ascii="Times New Roman" w:hAnsi="Times New Roman" w:eastAsia="宋体" w:cs="Times New Roman"/>
                <w:sz w:val="21"/>
                <w:szCs w:val="21"/>
                <w:lang w:val="zh-CN"/>
              </w:rPr>
              <w:t>（7）施工单位在项目建设结束后应向建设单位提供建设施工过程职业病危害防治总结报告。</w:t>
            </w:r>
            <w:bookmarkEnd w:id="3"/>
            <w:bookmarkEnd w:id="4"/>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trPr>
        <w:tc>
          <w:tcPr>
            <w:tcW w:w="1591" w:type="dxa"/>
            <w:tcBorders>
              <w:top w:val="single" w:color="000000" w:sz="4" w:space="0"/>
              <w:left w:val="single" w:color="000000" w:sz="12" w:space="0"/>
              <w:bottom w:val="single" w:color="000000" w:sz="12"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_GB2312"/>
                <w:szCs w:val="32"/>
              </w:rPr>
            </w:pPr>
            <w:r>
              <w:rPr>
                <w:rFonts w:hint="eastAsia" w:ascii="仿宋_GB2312"/>
                <w:szCs w:val="32"/>
              </w:rPr>
              <w:t>技术审查专家组评审意见</w:t>
            </w:r>
          </w:p>
        </w:tc>
        <w:tc>
          <w:tcPr>
            <w:tcW w:w="6931" w:type="dxa"/>
            <w:gridSpan w:val="5"/>
            <w:tcBorders>
              <w:top w:val="single" w:color="000000" w:sz="4" w:space="0"/>
              <w:left w:val="single" w:color="000000" w:sz="4" w:space="0"/>
              <w:bottom w:val="single" w:color="000000" w:sz="12" w:space="0"/>
              <w:right w:val="single" w:color="000000" w:sz="12" w:space="0"/>
            </w:tcBorders>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预评价报告</w:t>
            </w:r>
            <w:r>
              <w:rPr>
                <w:rFonts w:hint="default" w:ascii="Times New Roman" w:hAnsi="Times New Roman" w:eastAsia="宋体" w:cs="Times New Roman"/>
                <w:sz w:val="21"/>
                <w:szCs w:val="21"/>
              </w:rPr>
              <w:t>》的评审意见</w:t>
            </w:r>
          </w:p>
          <w:p>
            <w:pPr>
              <w:keepNext w:val="0"/>
              <w:keepLines w:val="0"/>
              <w:pageBreakBefore w:val="0"/>
              <w:widowControl w:val="0"/>
              <w:suppressLineNumbers w:val="0"/>
              <w:tabs>
                <w:tab w:val="left" w:pos="7005"/>
              </w:tabs>
              <w:kinsoku/>
              <w:wordWrap/>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cs="Times New Roman"/>
                <w:sz w:val="21"/>
                <w:szCs w:val="21"/>
                <w:lang w:val="en-US" w:eastAsia="zh-CN"/>
              </w:rPr>
              <w:t>2</w:t>
            </w:r>
            <w:r>
              <w:rPr>
                <w:rFonts w:hint="eastAsia" w:ascii="Times New Roman" w:hAnsi="Times New Roman" w:eastAsia="宋体" w:cs="Times New Roman"/>
                <w:sz w:val="21"/>
                <w:szCs w:val="21"/>
              </w:rPr>
              <w:t>年5月</w:t>
            </w:r>
            <w:r>
              <w:rPr>
                <w:rFonts w:hint="eastAsia" w:ascii="Times New Roman" w:hAnsi="Times New Roman" w:cs="Times New Roman"/>
                <w:sz w:val="21"/>
                <w:szCs w:val="21"/>
                <w:lang w:val="en-US" w:eastAsia="zh-CN"/>
              </w:rPr>
              <w:t>1</w:t>
            </w:r>
            <w:r>
              <w:rPr>
                <w:rFonts w:hint="eastAsia" w:ascii="Times New Roman" w:hAnsi="Times New Roman" w:eastAsia="宋体" w:cs="Times New Roman"/>
                <w:sz w:val="21"/>
                <w:szCs w:val="21"/>
              </w:rPr>
              <w:t>9日，济南东方雨虹建筑材料有限公司组织有关专家对《济南东方雨虹建筑材料有限公司</w:t>
            </w:r>
            <w:r>
              <w:rPr>
                <w:rFonts w:hint="eastAsia" w:ascii="Times New Roman" w:hAnsi="Times New Roman" w:cs="Times New Roman"/>
                <w:sz w:val="21"/>
                <w:szCs w:val="21"/>
                <w:lang w:eastAsia="zh-CN"/>
              </w:rPr>
              <w:t>东方雨虹绿色建材生产基地改性沥青防水卷材生产线项目</w:t>
            </w:r>
            <w:r>
              <w:rPr>
                <w:rFonts w:hint="eastAsia" w:ascii="Times New Roman" w:hAnsi="Times New Roman" w:eastAsia="宋体" w:cs="Times New Roman"/>
                <w:sz w:val="21"/>
                <w:szCs w:val="21"/>
              </w:rPr>
              <w:t>职业病危害预评价报告》（以下简称《预评报告》）进行了审核，专家组听取了建设单位对项目的概况介绍及评价单位对《预评报告》的汇报，经过认真讨论，形成如下审核意见：</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rPr>
              <w:t>一、评审意见</w:t>
            </w:r>
            <w:r>
              <w:rPr>
                <w:rFonts w:hint="eastAsia" w:ascii="Times New Roman" w:hAnsi="Times New Roman" w:cs="Times New Roman"/>
                <w:b/>
                <w:bCs/>
                <w:sz w:val="21"/>
                <w:szCs w:val="21"/>
                <w:lang w:eastAsia="zh-CN"/>
              </w:rPr>
              <w:t>：</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1、职业病危害预评价报告对施工过程中及建成后可能产生职业病危害因素的工作场所、工艺设备、技术材料等进行了描述；</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2、职业病危害预评价报告对建设项目施工过程中及建成后可能产生的职业病危害因素及对劳动者健康危害程度进行了分析与评价；</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3、建设项目职业病危害类型判定准确；</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4、对建设项目施工过程中及建成后拟设置的职业病防护设施和个体防护用品进行了分析与评价；</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5、对职业卫生管理机构设置和职业卫生管理人员配置及有关制度建设提出了针对性的建议；</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6、职业病危害预评价报告针对建设项目施工过程中及建成后的职业病防护措施提出了建议；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eastAsia" w:ascii="Times New Roman" w:hAnsi="Times New Roman" w:eastAsia="宋体" w:cs="Times New Roman"/>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、《预评价报告</w:t>
            </w:r>
            <w:r>
              <w:rPr>
                <w:rFonts w:hint="eastAsia" w:asciiTheme="minorEastAsia" w:hAnsiTheme="minorEastAsia" w:eastAsiaTheme="minorEastAsia"/>
                <w:sz w:val="21"/>
                <w:szCs w:val="21"/>
              </w:rPr>
              <w:t>》结论正确</w:t>
            </w:r>
            <w:r>
              <w:rPr>
                <w:rFonts w:hint="eastAsia" w:ascii="Times New Roman" w:hAnsi="Times New Roman" w:eastAsia="宋体" w:cs="Times New Roman"/>
                <w:sz w:val="21"/>
                <w:szCs w:val="21"/>
              </w:rPr>
              <w:t>。</w:t>
            </w:r>
          </w:p>
          <w:p>
            <w:pPr>
              <w:keepNext w:val="0"/>
              <w:keepLines w:val="0"/>
              <w:pageBreakBefore w:val="0"/>
              <w:widowControl w:val="0"/>
              <w:suppressLineNumbers w:val="0"/>
              <w:kinsoku/>
              <w:wordWrap/>
              <w:topLinePunct w:val="0"/>
              <w:bidi w:val="0"/>
              <w:adjustRightInd/>
              <w:snapToGrid/>
              <w:spacing w:before="0" w:beforeAutospacing="0" w:after="0" w:afterAutospacing="0" w:line="490" w:lineRule="exact"/>
              <w:ind w:left="0" w:right="0"/>
              <w:textAlignment w:val="auto"/>
              <w:outlineLvl w:val="2"/>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二、专家组意见：</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1．应引用有效评价依据，按G</w:t>
            </w:r>
            <w:r>
              <w:rPr>
                <w:rFonts w:asciiTheme="minorEastAsia" w:hAnsiTheme="minorEastAsia" w:eastAsiaTheme="minorEastAsia"/>
                <w:sz w:val="21"/>
                <w:szCs w:val="21"/>
              </w:rPr>
              <w:t>BZ1</w:t>
            </w:r>
            <w:r>
              <w:rPr>
                <w:rFonts w:hint="eastAsia" w:asciiTheme="minorEastAsia" w:hAnsiTheme="minorEastAsia" w:eastAsiaTheme="minorEastAsia"/>
                <w:sz w:val="21"/>
                <w:szCs w:val="21"/>
              </w:rPr>
              <w:t>、G</w:t>
            </w:r>
            <w:r>
              <w:rPr>
                <w:rFonts w:asciiTheme="minorEastAsia" w:hAnsiTheme="minorEastAsia" w:eastAsiaTheme="minorEastAsia"/>
                <w:sz w:val="21"/>
                <w:szCs w:val="21"/>
              </w:rPr>
              <w:t>BZ2.1</w:t>
            </w:r>
            <w:r>
              <w:rPr>
                <w:rFonts w:hint="eastAsia" w:asciiTheme="minorEastAsia" w:hAnsiTheme="minorEastAsia" w:eastAsiaTheme="minorEastAsia"/>
                <w:sz w:val="21"/>
                <w:szCs w:val="21"/>
              </w:rPr>
              <w:t>规范评价建筑卫生学及健康危害性质；</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2．补充分析车间全面通风情况，局部排风设施的设计建议；</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3．本项目存在沥青烟、滑石粉尘等危害因素，车间卫生特征宜为2级</w:t>
            </w:r>
          </w:p>
          <w:p>
            <w:pPr>
              <w:spacing w:line="240" w:lineRule="auto"/>
              <w:ind w:firstLine="420" w:firstLineChars="200"/>
              <w:jc w:val="left"/>
              <w:rPr>
                <w:rFonts w:asciiTheme="minorEastAsia" w:hAnsiTheme="minorEastAsia" w:eastAsiaTheme="minorEastAsia"/>
                <w:sz w:val="21"/>
                <w:szCs w:val="21"/>
              </w:rPr>
            </w:pPr>
            <w:r>
              <w:rPr>
                <w:rFonts w:hint="eastAsia" w:asciiTheme="minorEastAsia" w:hAnsiTheme="minorEastAsia" w:eastAsiaTheme="minorEastAsia"/>
                <w:sz w:val="21"/>
                <w:szCs w:val="21"/>
              </w:rPr>
              <w:t>4．细化对</w:t>
            </w:r>
            <w:r>
              <w:rPr>
                <w:rFonts w:asciiTheme="minorEastAsia" w:hAnsiTheme="minorEastAsia" w:eastAsiaTheme="minorEastAsia"/>
                <w:sz w:val="21"/>
                <w:szCs w:val="21"/>
              </w:rPr>
              <w:t>外包工作</w:t>
            </w:r>
            <w:r>
              <w:rPr>
                <w:rFonts w:hint="eastAsia" w:asciiTheme="minorEastAsia" w:hAnsiTheme="minorEastAsia" w:eastAsiaTheme="minorEastAsia"/>
                <w:sz w:val="21"/>
                <w:szCs w:val="21"/>
              </w:rPr>
              <w:t>的职业卫生</w:t>
            </w:r>
            <w:r>
              <w:rPr>
                <w:rFonts w:asciiTheme="minorEastAsia" w:hAnsiTheme="minorEastAsia" w:eastAsiaTheme="minorEastAsia"/>
                <w:sz w:val="21"/>
                <w:szCs w:val="21"/>
              </w:rPr>
              <w:t>建议</w:t>
            </w:r>
            <w:r>
              <w:rPr>
                <w:rFonts w:hint="eastAsia" w:asciiTheme="minorEastAsia" w:hAnsiTheme="minorEastAsia" w:eastAsiaTheme="minorEastAsia"/>
                <w:sz w:val="21"/>
                <w:szCs w:val="21"/>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outlineLvl w:val="9"/>
              <w:rPr>
                <w:rFonts w:hint="eastAsia" w:ascii="Times New Roman" w:hAnsi="Times New Roman" w:eastAsia="宋体" w:cs="Times New Roman"/>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．增加拟建项目总平面布置图、职业病危害因素分布图</w:t>
            </w:r>
            <w:r>
              <w:rPr>
                <w:rFonts w:hint="eastAsia" w:ascii="Times New Roman" w:hAnsi="Times New Roman" w:eastAsia="宋体" w:cs="Times New Roman"/>
                <w:sz w:val="21"/>
                <w:szCs w:val="21"/>
              </w:rPr>
              <w:t>。</w:t>
            </w:r>
          </w:p>
          <w:p>
            <w:pPr>
              <w:keepNext w:val="0"/>
              <w:keepLines w:val="0"/>
              <w:suppressLineNumbers w:val="0"/>
              <w:adjustRightInd w:val="0"/>
              <w:snapToGrid w:val="0"/>
              <w:spacing w:before="0" w:beforeAutospacing="0" w:after="0" w:afterAutospacing="0" w:line="480" w:lineRule="exact"/>
              <w:ind w:left="0" w:right="0"/>
              <w:textAlignment w:val="baseline"/>
              <w:rPr>
                <w:rFonts w:hint="eastAsia" w:ascii="宋体" w:hAnsi="宋体" w:cs="宋体"/>
                <w:sz w:val="28"/>
                <w:szCs w:val="28"/>
              </w:rPr>
            </w:pPr>
            <w:r>
              <w:rPr>
                <w:rFonts w:hint="eastAsia" w:ascii="Times New Roman" w:hAnsi="Times New Roman" w:eastAsia="宋体" w:cs="Times New Roman"/>
                <w:b/>
                <w:bCs/>
                <w:sz w:val="21"/>
                <w:szCs w:val="21"/>
              </w:rPr>
              <w:t>三、结论：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outlineLvl w:val="9"/>
              <w:rPr>
                <w:rFonts w:hint="default" w:ascii="Times New Roman" w:hAnsi="Times New Roman"/>
                <w:szCs w:val="32"/>
              </w:rPr>
            </w:pPr>
            <w:r>
              <w:rPr>
                <w:rFonts w:hint="eastAsia" w:asciiTheme="minorEastAsia" w:hAnsiTheme="minorEastAsia" w:eastAsiaTheme="minorEastAsia"/>
                <w:sz w:val="21"/>
                <w:szCs w:val="21"/>
              </w:rPr>
              <w:t>专家组建议通过《预评价报告》，《预评价报告》按专家意见进行修改</w:t>
            </w:r>
            <w:r>
              <w:rPr>
                <w:rFonts w:hint="eastAsia" w:ascii="Times New Roman" w:hAnsi="Times New Roman" w:eastAsia="宋体" w:cs="Times New Roman"/>
                <w:sz w:val="21"/>
                <w:szCs w:val="21"/>
              </w:rPr>
              <w:t>。</w:t>
            </w: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ZmY4NTBmMjAyOGMzYjMyMTlhN2U3Y2U1MDM0YTYifQ=="/>
  </w:docVars>
  <w:rsids>
    <w:rsidRoot w:val="21D95596"/>
    <w:rsid w:val="04CC6DBB"/>
    <w:rsid w:val="099F0289"/>
    <w:rsid w:val="0C9F686E"/>
    <w:rsid w:val="0D4D4781"/>
    <w:rsid w:val="1B4A652A"/>
    <w:rsid w:val="21D95596"/>
    <w:rsid w:val="28FC4B2E"/>
    <w:rsid w:val="2BF228C7"/>
    <w:rsid w:val="2E0D15B9"/>
    <w:rsid w:val="3094242D"/>
    <w:rsid w:val="35555F97"/>
    <w:rsid w:val="361101CA"/>
    <w:rsid w:val="38076921"/>
    <w:rsid w:val="39366F5C"/>
    <w:rsid w:val="40172C86"/>
    <w:rsid w:val="450933AE"/>
    <w:rsid w:val="4C8A4FE6"/>
    <w:rsid w:val="4E426995"/>
    <w:rsid w:val="4ECB7CE4"/>
    <w:rsid w:val="4FC14E39"/>
    <w:rsid w:val="502F72FA"/>
    <w:rsid w:val="557A6493"/>
    <w:rsid w:val="55EC0E95"/>
    <w:rsid w:val="57FC0F7D"/>
    <w:rsid w:val="5B76277C"/>
    <w:rsid w:val="65E3735C"/>
    <w:rsid w:val="68731DB6"/>
    <w:rsid w:val="6D535020"/>
    <w:rsid w:val="7195502F"/>
    <w:rsid w:val="734F34EF"/>
    <w:rsid w:val="7CE13AC7"/>
    <w:rsid w:val="7F79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keepNext/>
      <w:keepLines/>
      <w:spacing w:before="156" w:beforeLines="50" w:after="156" w:afterLines="50" w:line="360" w:lineRule="auto"/>
      <w:outlineLvl w:val="1"/>
    </w:pPr>
    <w:rPr>
      <w:rFonts w:ascii="仿宋_GB2312" w:hAnsi="仿宋_GB2312" w:eastAsia="仿宋_GB2312"/>
      <w:b/>
      <w:bCs/>
      <w:sz w:val="28"/>
      <w:szCs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4"/>
      <w:szCs w:val="20"/>
    </w:rPr>
  </w:style>
  <w:style w:type="paragraph" w:styleId="4">
    <w:name w:val="toa heading"/>
    <w:basedOn w:val="1"/>
    <w:next w:val="1"/>
    <w:uiPriority w:val="0"/>
    <w:pPr>
      <w:spacing w:before="120" w:beforeLines="0"/>
    </w:pPr>
    <w:rPr>
      <w:rFonts w:ascii="Arial" w:hAnsi="Arial"/>
      <w:sz w:val="24"/>
      <w:szCs w:val="20"/>
    </w:rPr>
  </w:style>
  <w:style w:type="paragraph" w:styleId="5">
    <w:name w:val="annotation text"/>
    <w:basedOn w:val="1"/>
    <w:qFormat/>
    <w:uiPriority w:val="0"/>
    <w:pPr>
      <w:jc w:val="left"/>
    </w:pPr>
  </w:style>
  <w:style w:type="paragraph" w:styleId="6">
    <w:name w:val="Body Text"/>
    <w:basedOn w:val="1"/>
    <w:qFormat/>
    <w:uiPriority w:val="99"/>
    <w:pPr>
      <w:spacing w:after="120" w:afterLines="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unhideWhenUsed/>
    <w:qFormat/>
    <w:uiPriority w:val="0"/>
    <w:pPr>
      <w:ind w:firstLine="420" w:firstLineChars="100"/>
    </w:pPr>
  </w:style>
  <w:style w:type="paragraph" w:customStyle="1" w:styleId="1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character" w:customStyle="1" w:styleId="13">
    <w:name w:val="15"/>
    <w:basedOn w:val="11"/>
    <w:qFormat/>
    <w:uiPriority w:val="0"/>
    <w:rPr>
      <w:rFonts w:hint="default" w:ascii="Calibri" w:hAnsi="Calibri" w:cs="Times New Roman"/>
    </w:rPr>
  </w:style>
  <w:style w:type="paragraph" w:customStyle="1" w:styleId="14">
    <w:name w:val="报告222正文"/>
    <w:basedOn w:val="1"/>
    <w:qFormat/>
    <w:uiPriority w:val="0"/>
    <w:pPr>
      <w:spacing w:line="500" w:lineRule="exact"/>
      <w:ind w:firstLine="560" w:firstLineChars="200"/>
    </w:pPr>
    <w:rPr>
      <w:rFonts w:ascii="Times New Roman" w:hAnsi="Times New Roman" w:eastAsia="仿宋_GB2312"/>
      <w:sz w:val="28"/>
      <w:szCs w:val="20"/>
    </w:rPr>
  </w:style>
  <w:style w:type="paragraph" w:customStyle="1" w:styleId="15">
    <w:name w:val="11"/>
    <w:basedOn w:val="2"/>
    <w:qFormat/>
    <w:uiPriority w:val="0"/>
    <w:pPr>
      <w:spacing w:line="490" w:lineRule="atLeast"/>
      <w:ind w:firstLine="600"/>
    </w:pPr>
    <w:rPr>
      <w:rFonts w:ascii="Times New Roman" w:hAnsi="Times New Roman" w:eastAsia="仿宋_GB2312"/>
      <w:spacing w:val="10"/>
      <w:sz w:val="28"/>
      <w:szCs w:val="28"/>
    </w:rPr>
  </w:style>
  <w:style w:type="paragraph" w:customStyle="1" w:styleId="16">
    <w:name w:val="报告二级标题"/>
    <w:basedOn w:val="3"/>
    <w:qFormat/>
    <w:uiPriority w:val="0"/>
    <w:pPr>
      <w:tabs>
        <w:tab w:val="left" w:pos="6660"/>
      </w:tabs>
      <w:spacing w:before="0" w:beforeLines="0" w:after="0" w:afterLines="0" w:line="500" w:lineRule="exact"/>
      <w:jc w:val="left"/>
    </w:pPr>
    <w:rPr>
      <w:rFonts w:ascii="Times New Roman" w:hAnsi="Times New Roman"/>
      <w:szCs w:val="28"/>
    </w:rPr>
  </w:style>
  <w:style w:type="paragraph" w:customStyle="1" w:styleId="17">
    <w:name w:val="报告正文"/>
    <w:basedOn w:val="1"/>
    <w:qFormat/>
    <w:uiPriority w:val="0"/>
    <w:pPr>
      <w:spacing w:line="465" w:lineRule="exact"/>
      <w:ind w:firstLine="200" w:firstLineChars="200"/>
      <w:jc w:val="left"/>
    </w:pPr>
    <w:rPr>
      <w:rFonts w:ascii="Times New Roman" w:hAnsi="Times New Roman" w:eastAsia="仿宋_GB2312"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5806</Words>
  <Characters>6061</Characters>
  <Lines>1</Lines>
  <Paragraphs>1</Paragraphs>
  <TotalTime>0</TotalTime>
  <ScaleCrop>false</ScaleCrop>
  <LinksUpToDate>false</LinksUpToDate>
  <CharactersWithSpaces>6090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2018-07-06T03:12:00Z</dcterms:created>
  <dc:creator>落雨思雪</dc:creator>
  <cp:lastModifiedBy>༅ༀ༆</cp:lastModifiedBy>
  <dcterms:modified xsi:type="dcterms:W3CDTF">2022-07-20T08:09:32Z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9439D0152C914D40B3C46829C27BF42E</vt:lpwstr>
  </property>
</Properties>
</file>